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C97098" w:rsidRPr="00A100FC">
        <w:rPr>
          <w:rFonts w:ascii="Times New Roman" w:hAnsi="Times New Roman" w:cs="Times New Roman"/>
          <w:b/>
        </w:rPr>
        <w:t>1</w:t>
      </w:r>
      <w:r w:rsidR="00625400" w:rsidRPr="00A100FC">
        <w:rPr>
          <w:rFonts w:ascii="Times New Roman" w:hAnsi="Times New Roman" w:cs="Times New Roman"/>
          <w:b/>
        </w:rPr>
        <w:t>8</w:t>
      </w:r>
      <w:r w:rsidRPr="00A100FC">
        <w:rPr>
          <w:rFonts w:ascii="Times New Roman" w:hAnsi="Times New Roman" w:cs="Times New Roman"/>
          <w:b/>
        </w:rPr>
        <w:t>.0</w:t>
      </w:r>
      <w:r w:rsidR="003D69B4" w:rsidRPr="00A100FC">
        <w:rPr>
          <w:rFonts w:ascii="Times New Roman" w:hAnsi="Times New Roman" w:cs="Times New Roman"/>
          <w:b/>
        </w:rPr>
        <w:t>5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Pr="00CA7CAB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85451" w:rsidRDefault="00C97098" w:rsidP="0062540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A100FC">
        <w:rPr>
          <w:rFonts w:ascii="Times New Roman" w:eastAsia="Times New Roman" w:hAnsi="Times New Roman" w:cs="Times New Roman"/>
          <w:lang w:eastAsia="ru-RU"/>
        </w:rPr>
        <w:t xml:space="preserve">Привод для распашных полуавтоматических ворот </w:t>
      </w:r>
      <w:r w:rsidR="00A100FC">
        <w:rPr>
          <w:rFonts w:ascii="Times New Roman" w:eastAsia="Times New Roman" w:hAnsi="Times New Roman" w:cs="Times New Roman"/>
          <w:lang w:val="en-US" w:eastAsia="ru-RU"/>
        </w:rPr>
        <w:t>NICE</w:t>
      </w:r>
      <w:r w:rsidR="00A100FC" w:rsidRPr="00A100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00FC">
        <w:rPr>
          <w:rFonts w:ascii="Times New Roman" w:eastAsia="Times New Roman" w:hAnsi="Times New Roman" w:cs="Times New Roman"/>
          <w:lang w:val="en-US" w:eastAsia="ru-RU"/>
        </w:rPr>
        <w:t>TO</w:t>
      </w:r>
      <w:r w:rsidR="00A100FC" w:rsidRPr="00A100FC">
        <w:rPr>
          <w:rFonts w:ascii="Times New Roman" w:eastAsia="Times New Roman" w:hAnsi="Times New Roman" w:cs="Times New Roman"/>
          <w:lang w:eastAsia="ru-RU"/>
        </w:rPr>
        <w:t>5024</w:t>
      </w:r>
      <w:r w:rsidR="00A100FC">
        <w:rPr>
          <w:rFonts w:ascii="Times New Roman" w:eastAsia="Times New Roman" w:hAnsi="Times New Roman" w:cs="Times New Roman"/>
          <w:lang w:val="en-US" w:eastAsia="ru-RU"/>
        </w:rPr>
        <w:t>HS</w:t>
      </w:r>
      <w:r w:rsidR="00A100FC">
        <w:rPr>
          <w:rFonts w:ascii="Times New Roman" w:eastAsia="Times New Roman" w:hAnsi="Times New Roman" w:cs="Times New Roman"/>
          <w:lang w:eastAsia="ru-RU"/>
        </w:rPr>
        <w:t xml:space="preserve"> – 2 шт.;</w:t>
      </w:r>
    </w:p>
    <w:p w:rsidR="00A100FC" w:rsidRDefault="00A100FC" w:rsidP="0062540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2.Молоко коровье пастеризованное жирностью 3,2-6% на июнь по графику (5 поставок)– 225 литров;</w:t>
      </w:r>
    </w:p>
    <w:p w:rsidR="00A100FC" w:rsidRDefault="00A100FC" w:rsidP="0062540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3.Сучкорез </w:t>
      </w:r>
      <w:r w:rsidR="00743E75">
        <w:rPr>
          <w:rFonts w:ascii="Times New Roman" w:eastAsia="Times New Roman" w:hAnsi="Times New Roman" w:cs="Times New Roman"/>
          <w:lang w:eastAsia="ru-RU"/>
        </w:rPr>
        <w:t>садовый «</w:t>
      </w:r>
      <w:proofErr w:type="spellStart"/>
      <w:r w:rsidR="00743E75">
        <w:rPr>
          <w:rFonts w:ascii="Times New Roman" w:eastAsia="Times New Roman" w:hAnsi="Times New Roman" w:cs="Times New Roman"/>
          <w:lang w:eastAsia="ru-RU"/>
        </w:rPr>
        <w:t>Новасад</w:t>
      </w:r>
      <w:proofErr w:type="spellEnd"/>
      <w:r w:rsidR="00743E75">
        <w:rPr>
          <w:rFonts w:ascii="Times New Roman" w:eastAsia="Times New Roman" w:hAnsi="Times New Roman" w:cs="Times New Roman"/>
          <w:lang w:eastAsia="ru-RU"/>
        </w:rPr>
        <w:t>» или аналог диаметр 30 мм – 1 шт.;</w:t>
      </w:r>
    </w:p>
    <w:p w:rsidR="00743E75" w:rsidRDefault="00743E75" w:rsidP="0062540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1C58E4"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>УШМ</w:t>
      </w:r>
      <w:r w:rsidRPr="001C58E4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болгарка</w:t>
      </w:r>
      <w:r w:rsidRPr="001C58E4">
        <w:rPr>
          <w:rFonts w:ascii="Times New Roman" w:eastAsia="Times New Roman" w:hAnsi="Times New Roman" w:cs="Times New Roman"/>
          <w:lang w:eastAsia="ru-RU"/>
        </w:rPr>
        <w:t>) «</w:t>
      </w:r>
      <w:r>
        <w:rPr>
          <w:rFonts w:ascii="Times New Roman" w:eastAsia="Times New Roman" w:hAnsi="Times New Roman" w:cs="Times New Roman"/>
          <w:lang w:val="en-US" w:eastAsia="ru-RU"/>
        </w:rPr>
        <w:t>Bosch</w:t>
      </w:r>
      <w:r w:rsidRPr="001C58E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GWS</w:t>
      </w:r>
      <w:r w:rsidRPr="001C58E4">
        <w:rPr>
          <w:rFonts w:ascii="Times New Roman" w:eastAsia="Times New Roman" w:hAnsi="Times New Roman" w:cs="Times New Roman"/>
          <w:lang w:eastAsia="ru-RU"/>
        </w:rPr>
        <w:t xml:space="preserve"> 9-125</w:t>
      </w:r>
      <w:r>
        <w:rPr>
          <w:rFonts w:ascii="Times New Roman" w:eastAsia="Times New Roman" w:hAnsi="Times New Roman" w:cs="Times New Roman"/>
          <w:lang w:val="en-US" w:eastAsia="ru-RU"/>
        </w:rPr>
        <w:t>S</w:t>
      </w:r>
      <w:r w:rsidRPr="001C58E4">
        <w:rPr>
          <w:rFonts w:ascii="Times New Roman" w:eastAsia="Times New Roman" w:hAnsi="Times New Roman" w:cs="Times New Roman"/>
          <w:lang w:eastAsia="ru-RU"/>
        </w:rPr>
        <w:t>-125</w:t>
      </w:r>
      <w:r>
        <w:rPr>
          <w:rFonts w:ascii="Times New Roman" w:eastAsia="Times New Roman" w:hAnsi="Times New Roman" w:cs="Times New Roman"/>
          <w:lang w:val="en-US" w:eastAsia="ru-RU"/>
        </w:rPr>
        <w:t>S</w:t>
      </w:r>
      <w:r w:rsidR="001C58E4">
        <w:rPr>
          <w:rFonts w:ascii="Times New Roman" w:eastAsia="Times New Roman" w:hAnsi="Times New Roman" w:cs="Times New Roman"/>
          <w:lang w:eastAsia="ru-RU"/>
        </w:rPr>
        <w:t>,</w:t>
      </w:r>
      <w:r w:rsidRPr="001C58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E75">
        <w:rPr>
          <w:rFonts w:ascii="Times New Roman" w:eastAsia="Times New Roman" w:hAnsi="Times New Roman" w:cs="Times New Roman"/>
          <w:lang w:eastAsia="ru-RU"/>
        </w:rPr>
        <w:t>900</w:t>
      </w:r>
      <w:r>
        <w:rPr>
          <w:rFonts w:ascii="Times New Roman" w:eastAsia="Times New Roman" w:hAnsi="Times New Roman" w:cs="Times New Roman"/>
          <w:lang w:eastAsia="ru-RU"/>
        </w:rPr>
        <w:t>Вт, 125 мм» или аналог - 1 шт.;</w:t>
      </w:r>
    </w:p>
    <w:p w:rsidR="00743E75" w:rsidRDefault="00743E75" w:rsidP="0062540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5.Дрель-шуруповерт «</w:t>
      </w:r>
      <w:r>
        <w:rPr>
          <w:rFonts w:ascii="Times New Roman" w:eastAsia="Times New Roman" w:hAnsi="Times New Roman" w:cs="Times New Roman"/>
          <w:lang w:val="en-US" w:eastAsia="ru-RU"/>
        </w:rPr>
        <w:t>Patriot</w:t>
      </w:r>
      <w:r w:rsidRPr="00743E7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BR</w:t>
      </w:r>
      <w:r w:rsidRPr="00743E75">
        <w:rPr>
          <w:rFonts w:ascii="Times New Roman" w:eastAsia="Times New Roman" w:hAnsi="Times New Roman" w:cs="Times New Roman"/>
          <w:lang w:eastAsia="ru-RU"/>
        </w:rPr>
        <w:t xml:space="preserve"> 187</w:t>
      </w:r>
      <w:r>
        <w:rPr>
          <w:rFonts w:ascii="Times New Roman" w:eastAsia="Times New Roman" w:hAnsi="Times New Roman" w:cs="Times New Roman"/>
          <w:lang w:val="en-US" w:eastAsia="ru-RU"/>
        </w:rPr>
        <w:t>UES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E2271">
        <w:rPr>
          <w:rFonts w:ascii="Times New Roman" w:eastAsia="Times New Roman" w:hAnsi="Times New Roman" w:cs="Times New Roman"/>
          <w:lang w:eastAsia="ru-RU"/>
        </w:rPr>
        <w:t>18</w:t>
      </w:r>
      <w:r>
        <w:rPr>
          <w:rFonts w:ascii="Times New Roman" w:eastAsia="Times New Roman" w:hAnsi="Times New Roman" w:cs="Times New Roman"/>
          <w:lang w:val="en-US" w:eastAsia="ru-RU"/>
        </w:rPr>
        <w:t>B</w:t>
      </w:r>
      <w:r w:rsidRPr="000E227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Li</w:t>
      </w:r>
      <w:r w:rsidRPr="000E2271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Ion</w:t>
      </w:r>
      <w:r w:rsidRPr="000E2271">
        <w:rPr>
          <w:rFonts w:ascii="Times New Roman" w:eastAsia="Times New Roman" w:hAnsi="Times New Roman" w:cs="Times New Roman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lang w:val="en-US" w:eastAsia="ru-RU"/>
        </w:rPr>
        <w:t>x</w:t>
      </w:r>
      <w:r w:rsidRPr="000E2271">
        <w:rPr>
          <w:rFonts w:ascii="Times New Roman" w:eastAsia="Times New Roman" w:hAnsi="Times New Roman" w:cs="Times New Roman"/>
          <w:lang w:eastAsia="ru-RU"/>
        </w:rPr>
        <w:t xml:space="preserve">2 </w:t>
      </w:r>
      <w:proofErr w:type="spellStart"/>
      <w:r w:rsidR="000E2271">
        <w:rPr>
          <w:rFonts w:ascii="Times New Roman" w:eastAsia="Times New Roman" w:hAnsi="Times New Roman" w:cs="Times New Roman"/>
          <w:lang w:eastAsia="ru-RU"/>
        </w:rPr>
        <w:t>Ач</w:t>
      </w:r>
      <w:proofErr w:type="spellEnd"/>
      <w:r w:rsidR="000E2271">
        <w:rPr>
          <w:rFonts w:ascii="Times New Roman" w:eastAsia="Times New Roman" w:hAnsi="Times New Roman" w:cs="Times New Roman"/>
          <w:lang w:eastAsia="ru-RU"/>
        </w:rPr>
        <w:t>» или аналог- 1 шт.</w:t>
      </w:r>
    </w:p>
    <w:p w:rsidR="00A97CCB" w:rsidRDefault="00A97CCB" w:rsidP="0062540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6.Комбикорм:</w:t>
      </w:r>
    </w:p>
    <w:p w:rsidR="00A97CCB" w:rsidRPr="003550C8" w:rsidRDefault="00A97CCB" w:rsidP="00A97CCB">
      <w:pPr>
        <w:ind w:firstLine="709"/>
        <w:rPr>
          <w:lang w:eastAsia="ru-RU"/>
        </w:rPr>
      </w:pPr>
      <w:r>
        <w:rPr>
          <w:lang w:eastAsia="ru-RU"/>
        </w:rPr>
        <w:t>6.1.</w:t>
      </w:r>
      <w:r w:rsidRPr="00A97CCB">
        <w:rPr>
          <w:lang w:eastAsia="ru-RU"/>
        </w:rPr>
        <w:t xml:space="preserve"> </w:t>
      </w:r>
      <w:r w:rsidRPr="003550C8">
        <w:rPr>
          <w:lang w:eastAsia="ru-RU"/>
        </w:rPr>
        <w:t>Гранулированный комбикорм для кур-несушек  ПК-4</w:t>
      </w:r>
      <w:r>
        <w:rPr>
          <w:lang w:eastAsia="ru-RU"/>
        </w:rPr>
        <w:t xml:space="preserve"> в количестве 6000,0 кг.</w:t>
      </w:r>
    </w:p>
    <w:tbl>
      <w:tblPr>
        <w:tblW w:w="9782" w:type="dxa"/>
        <w:tblInd w:w="-27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4972"/>
        <w:gridCol w:w="1276"/>
        <w:gridCol w:w="3534"/>
      </w:tblGrid>
      <w:tr w:rsidR="00A97CCB" w:rsidRPr="003550C8" w:rsidTr="004E7363">
        <w:trPr>
          <w:trHeight w:val="348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b/>
                <w:b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color w:val="00000A"/>
              </w:rPr>
              <w:t>Основные количественные показатели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b/>
                <w:b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color w:val="00000A"/>
              </w:rPr>
              <w:t>Единицы</w:t>
            </w:r>
          </w:p>
        </w:tc>
        <w:tc>
          <w:tcPr>
            <w:tcW w:w="3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b/>
                <w:b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color w:val="00000A"/>
              </w:rPr>
              <w:t>ПК-4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Сырой протеин, не менее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proofErr w:type="gramStart"/>
            <w:r w:rsidRPr="003550C8">
              <w:rPr>
                <w:rFonts w:eastAsiaTheme="minorEastAsia"/>
                <w:color w:val="00000A"/>
              </w:rPr>
              <w:t>г</w:t>
            </w:r>
            <w:proofErr w:type="gramEnd"/>
            <w:r w:rsidRPr="003550C8">
              <w:rPr>
                <w:rFonts w:eastAsiaTheme="minorEastAsia"/>
                <w:color w:val="00000A"/>
              </w:rPr>
              <w:t>/кг</w:t>
            </w:r>
          </w:p>
        </w:tc>
        <w:tc>
          <w:tcPr>
            <w:tcW w:w="3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170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Сырой жир, не менее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proofErr w:type="gramStart"/>
            <w:r w:rsidRPr="003550C8">
              <w:rPr>
                <w:rFonts w:eastAsiaTheme="minorEastAsia"/>
                <w:color w:val="00000A"/>
              </w:rPr>
              <w:t>г</w:t>
            </w:r>
            <w:proofErr w:type="gramEnd"/>
            <w:r w:rsidRPr="003550C8">
              <w:rPr>
                <w:rFonts w:eastAsiaTheme="minorEastAsia"/>
                <w:color w:val="00000A"/>
              </w:rPr>
              <w:t>/кг</w:t>
            </w:r>
          </w:p>
        </w:tc>
        <w:tc>
          <w:tcPr>
            <w:tcW w:w="3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515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Сырая клетчатка, не более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proofErr w:type="gramStart"/>
            <w:r w:rsidRPr="003550C8">
              <w:rPr>
                <w:rFonts w:eastAsiaTheme="minorEastAsia"/>
                <w:color w:val="00000A"/>
              </w:rPr>
              <w:t>г</w:t>
            </w:r>
            <w:proofErr w:type="gramEnd"/>
            <w:r w:rsidRPr="003550C8">
              <w:rPr>
                <w:rFonts w:eastAsiaTheme="minorEastAsia"/>
                <w:color w:val="00000A"/>
              </w:rPr>
              <w:t>/кг</w:t>
            </w:r>
          </w:p>
        </w:tc>
        <w:tc>
          <w:tcPr>
            <w:tcW w:w="3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55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Обменная энергия, не менее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МДж/</w:t>
            </w:r>
            <w:proofErr w:type="gramStart"/>
            <w:r w:rsidRPr="003550C8">
              <w:rPr>
                <w:rFonts w:eastAsiaTheme="minorEastAsia"/>
                <w:color w:val="00000A"/>
              </w:rPr>
              <w:t>кг</w:t>
            </w:r>
            <w:proofErr w:type="gramEnd"/>
          </w:p>
        </w:tc>
        <w:tc>
          <w:tcPr>
            <w:tcW w:w="3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10,7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Влажность, не более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%</w:t>
            </w:r>
          </w:p>
        </w:tc>
        <w:tc>
          <w:tcPr>
            <w:tcW w:w="3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A97CCB">
            <w:pPr>
              <w:ind w:firstLine="709"/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14</w:t>
            </w:r>
          </w:p>
        </w:tc>
      </w:tr>
    </w:tbl>
    <w:p w:rsidR="00A97CCB" w:rsidRPr="003550C8" w:rsidRDefault="00A97CCB" w:rsidP="00A97CCB">
      <w:pPr>
        <w:rPr>
          <w:lang w:eastAsia="ru-RU"/>
        </w:rPr>
      </w:pPr>
      <w:bookmarkStart w:id="0" w:name="_GoBack"/>
      <w:bookmarkEnd w:id="0"/>
      <w:r w:rsidRPr="003550C8">
        <w:rPr>
          <w:b/>
          <w:lang w:eastAsia="ru-RU"/>
        </w:rPr>
        <w:t>Состав</w:t>
      </w:r>
      <w:r w:rsidRPr="003550C8">
        <w:rPr>
          <w:lang w:eastAsia="ru-RU"/>
        </w:rPr>
        <w:t>: Зерновые (пшеница, ячмень), отруби пшеничные, кукуруза, жмых подсолнечный, шрот подсолнечный, известняк, фосфаты, премикс, аминокислоты, соль пищевая.</w:t>
      </w:r>
    </w:p>
    <w:p w:rsidR="00A97CCB" w:rsidRDefault="00A97CCB" w:rsidP="00A97CCB">
      <w:pPr>
        <w:rPr>
          <w:lang w:eastAsia="ru-RU"/>
        </w:rPr>
      </w:pPr>
      <w:r w:rsidRPr="003550C8">
        <w:rPr>
          <w:b/>
          <w:lang w:eastAsia="ru-RU"/>
        </w:rPr>
        <w:t>Остаточный срок хранения</w:t>
      </w:r>
      <w:r w:rsidRPr="003550C8">
        <w:rPr>
          <w:lang w:eastAsia="ru-RU"/>
        </w:rPr>
        <w:t xml:space="preserve"> не менее 3 месяцев, не более 6 месяцев с даты изготовления.</w:t>
      </w:r>
    </w:p>
    <w:p w:rsidR="00A97CCB" w:rsidRPr="003550C8" w:rsidRDefault="00A97CCB" w:rsidP="00A97CCB">
      <w:pPr>
        <w:jc w:val="both"/>
        <w:rPr>
          <w:lang w:eastAsia="ru-RU"/>
        </w:rPr>
      </w:pPr>
      <w:r>
        <w:rPr>
          <w:lang w:eastAsia="ru-RU"/>
        </w:rPr>
        <w:t xml:space="preserve">6.2. </w:t>
      </w:r>
      <w:r w:rsidRPr="003550C8">
        <w:rPr>
          <w:lang w:eastAsia="ru-RU"/>
        </w:rPr>
        <w:t>Комбикорма Старт (ПК-5)</w:t>
      </w:r>
      <w:r>
        <w:rPr>
          <w:lang w:eastAsia="ru-RU"/>
        </w:rPr>
        <w:t xml:space="preserve"> в количестве 1400,0 кг, </w:t>
      </w:r>
      <w:r w:rsidRPr="003550C8">
        <w:rPr>
          <w:lang w:eastAsia="ru-RU"/>
        </w:rPr>
        <w:t>Финиш (для бройлеров)</w:t>
      </w:r>
      <w:r>
        <w:rPr>
          <w:lang w:eastAsia="ru-RU"/>
        </w:rPr>
        <w:t xml:space="preserve"> в количестве 250 кг</w:t>
      </w:r>
      <w:r w:rsidRPr="003550C8">
        <w:rPr>
          <w:lang w:eastAsia="ru-RU"/>
        </w:rPr>
        <w:t>:</w:t>
      </w:r>
    </w:p>
    <w:tbl>
      <w:tblPr>
        <w:tblW w:w="9782" w:type="dxa"/>
        <w:tblInd w:w="-27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4972"/>
        <w:gridCol w:w="1276"/>
        <w:gridCol w:w="1124"/>
        <w:gridCol w:w="1134"/>
        <w:gridCol w:w="1276"/>
      </w:tblGrid>
      <w:tr w:rsidR="00A97CCB" w:rsidRPr="003550C8" w:rsidTr="004E7363">
        <w:trPr>
          <w:trHeight w:val="348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b/>
                <w:b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color w:val="00000A"/>
              </w:rPr>
              <w:t>Основные количественные показатели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b/>
                <w:b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color w:val="00000A"/>
              </w:rPr>
              <w:t>Единицы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b/>
                <w:b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color w:val="00000A"/>
              </w:rPr>
              <w:t>Старт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b/>
                <w:bCs/>
                <w:i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iCs/>
                <w:color w:val="00000A"/>
              </w:rPr>
              <w:t>Рост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b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color w:val="00000A"/>
              </w:rPr>
              <w:t>Финиш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Сырой протеин, не менее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proofErr w:type="gramStart"/>
            <w:r w:rsidRPr="003550C8">
              <w:rPr>
                <w:rFonts w:eastAsiaTheme="minorEastAsia"/>
                <w:color w:val="00000A"/>
              </w:rPr>
              <w:t>г</w:t>
            </w:r>
            <w:proofErr w:type="gramEnd"/>
            <w:r w:rsidRPr="003550C8">
              <w:rPr>
                <w:rFonts w:eastAsiaTheme="minorEastAsia"/>
                <w:color w:val="00000A"/>
              </w:rPr>
              <w:t>/кг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210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202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185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Сырой жир, не менее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proofErr w:type="gramStart"/>
            <w:r w:rsidRPr="003550C8">
              <w:rPr>
                <w:rFonts w:eastAsiaTheme="minorEastAsia"/>
                <w:color w:val="00000A"/>
              </w:rPr>
              <w:t>г</w:t>
            </w:r>
            <w:proofErr w:type="gramEnd"/>
            <w:r w:rsidRPr="003550C8">
              <w:rPr>
                <w:rFonts w:eastAsiaTheme="minorEastAsia"/>
                <w:color w:val="00000A"/>
              </w:rPr>
              <w:t>/кг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35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Сырая клетчатка, макс.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proofErr w:type="gramStart"/>
            <w:r w:rsidRPr="003550C8">
              <w:rPr>
                <w:rFonts w:eastAsiaTheme="minorEastAsia"/>
                <w:color w:val="00000A"/>
              </w:rPr>
              <w:t>г</w:t>
            </w:r>
            <w:proofErr w:type="gramEnd"/>
            <w:r w:rsidRPr="003550C8">
              <w:rPr>
                <w:rFonts w:eastAsiaTheme="minorEastAsia"/>
                <w:color w:val="00000A"/>
              </w:rPr>
              <w:t>/кг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45</w:t>
            </w:r>
          </w:p>
        </w:tc>
      </w:tr>
      <w:tr w:rsidR="00A97CCB" w:rsidRPr="003550C8" w:rsidTr="004E7363">
        <w:trPr>
          <w:trHeight w:val="249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Обменная энергия, не менее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МДж/</w:t>
            </w:r>
            <w:proofErr w:type="gramStart"/>
            <w:r w:rsidRPr="003550C8">
              <w:rPr>
                <w:rFonts w:eastAsiaTheme="minorEastAsia"/>
                <w:color w:val="00000A"/>
              </w:rPr>
              <w:t>кг</w:t>
            </w:r>
            <w:proofErr w:type="gramEnd"/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12,9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13,1</w:t>
            </w:r>
          </w:p>
        </w:tc>
      </w:tr>
      <w:tr w:rsidR="00A97CCB" w:rsidRPr="003550C8" w:rsidTr="004E7363">
        <w:trPr>
          <w:trHeight w:val="249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Влажность, не более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%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14</w:t>
            </w:r>
          </w:p>
        </w:tc>
      </w:tr>
    </w:tbl>
    <w:p w:rsidR="00A97CCB" w:rsidRPr="003550C8" w:rsidRDefault="00A97CCB" w:rsidP="00A97CCB">
      <w:pPr>
        <w:rPr>
          <w:lang w:eastAsia="ru-RU"/>
        </w:rPr>
      </w:pPr>
      <w:r w:rsidRPr="003550C8">
        <w:rPr>
          <w:b/>
          <w:lang w:eastAsia="ru-RU"/>
        </w:rPr>
        <w:t>Состав:</w:t>
      </w:r>
      <w:r w:rsidRPr="003550C8">
        <w:rPr>
          <w:lang w:eastAsia="ru-RU"/>
        </w:rPr>
        <w:t xml:space="preserve"> </w:t>
      </w:r>
      <w:proofErr w:type="gramStart"/>
      <w:r w:rsidRPr="003550C8">
        <w:rPr>
          <w:lang w:eastAsia="ru-RU"/>
        </w:rPr>
        <w:t xml:space="preserve">Зерновые (пшеница, кукуруза), соевый шрот, подсолнечный шрот, рыбная мука, сырье животного происхождения, масло растительное, известняковая мука, фосфаты, соль пищевая, витамины, (в </w:t>
      </w:r>
      <w:proofErr w:type="spellStart"/>
      <w:r w:rsidRPr="003550C8">
        <w:rPr>
          <w:lang w:eastAsia="ru-RU"/>
        </w:rPr>
        <w:t>т.ч</w:t>
      </w:r>
      <w:proofErr w:type="spellEnd"/>
      <w:r w:rsidRPr="003550C8">
        <w:rPr>
          <w:lang w:eastAsia="ru-RU"/>
        </w:rPr>
        <w:t xml:space="preserve">. витамин Е-аналог), минералы, аминокислоты, ферменты, антиоксидант, </w:t>
      </w:r>
      <w:proofErr w:type="spellStart"/>
      <w:r w:rsidRPr="003550C8">
        <w:rPr>
          <w:lang w:eastAsia="ru-RU"/>
        </w:rPr>
        <w:t>кокцидиостатик</w:t>
      </w:r>
      <w:proofErr w:type="spellEnd"/>
      <w:r w:rsidRPr="003550C8">
        <w:rPr>
          <w:lang w:eastAsia="ru-RU"/>
        </w:rPr>
        <w:t xml:space="preserve">, </w:t>
      </w:r>
      <w:proofErr w:type="spellStart"/>
      <w:r w:rsidRPr="003550C8">
        <w:rPr>
          <w:lang w:eastAsia="ru-RU"/>
        </w:rPr>
        <w:t>ласалоцид</w:t>
      </w:r>
      <w:proofErr w:type="spellEnd"/>
      <w:r w:rsidRPr="003550C8">
        <w:rPr>
          <w:lang w:eastAsia="ru-RU"/>
        </w:rPr>
        <w:t xml:space="preserve"> натрия, эфирные масла и другие ингредиенты.</w:t>
      </w:r>
      <w:proofErr w:type="gramEnd"/>
    </w:p>
    <w:p w:rsidR="00A97CCB" w:rsidRDefault="00A97CCB" w:rsidP="00A97CCB">
      <w:pPr>
        <w:rPr>
          <w:lang w:eastAsia="ru-RU"/>
        </w:rPr>
      </w:pPr>
      <w:r w:rsidRPr="003550C8">
        <w:rPr>
          <w:b/>
          <w:lang w:eastAsia="ru-RU"/>
        </w:rPr>
        <w:t>Остаточный срок хранения</w:t>
      </w:r>
      <w:r w:rsidRPr="003550C8">
        <w:rPr>
          <w:lang w:eastAsia="ru-RU"/>
        </w:rPr>
        <w:t xml:space="preserve"> не менее 3 месяцев, не более 6 месяцев с даты изготовления.</w:t>
      </w:r>
    </w:p>
    <w:p w:rsidR="00A97CCB" w:rsidRPr="003550C8" w:rsidRDefault="00A97CCB" w:rsidP="00A97CCB">
      <w:pPr>
        <w:jc w:val="both"/>
        <w:rPr>
          <w:lang w:eastAsia="ru-RU"/>
        </w:rPr>
      </w:pPr>
      <w:r>
        <w:rPr>
          <w:lang w:eastAsia="ru-RU"/>
        </w:rPr>
        <w:t>6.3.</w:t>
      </w:r>
      <w:r w:rsidRPr="00A97CCB">
        <w:rPr>
          <w:lang w:eastAsia="ru-RU"/>
        </w:rPr>
        <w:t xml:space="preserve"> </w:t>
      </w:r>
      <w:r w:rsidRPr="003550C8">
        <w:rPr>
          <w:lang w:eastAsia="ru-RU"/>
        </w:rPr>
        <w:t>Гранулированный комбикорм для рабочих лошадей КК-70</w:t>
      </w:r>
      <w:r w:rsidR="003E0C6D">
        <w:rPr>
          <w:lang w:eastAsia="ru-RU"/>
        </w:rPr>
        <w:t xml:space="preserve"> в количестве 1100,00 кг.</w:t>
      </w:r>
    </w:p>
    <w:tbl>
      <w:tblPr>
        <w:tblW w:w="9782" w:type="dxa"/>
        <w:tblInd w:w="-27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4972"/>
        <w:gridCol w:w="1691"/>
        <w:gridCol w:w="3119"/>
      </w:tblGrid>
      <w:tr w:rsidR="00A97CCB" w:rsidRPr="003550C8" w:rsidTr="004E7363">
        <w:trPr>
          <w:trHeight w:val="348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b/>
                <w:b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color w:val="00000A"/>
              </w:rPr>
              <w:lastRenderedPageBreak/>
              <w:t xml:space="preserve">Основные количественные показатели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b/>
                <w:b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color w:val="00000A"/>
              </w:rPr>
              <w:t>Единицы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b/>
                <w:bCs/>
                <w:color w:val="00000A"/>
                <w:lang w:eastAsia="ru-RU"/>
              </w:rPr>
            </w:pPr>
            <w:r w:rsidRPr="003550C8">
              <w:rPr>
                <w:rFonts w:eastAsiaTheme="minorEastAsia"/>
                <w:b/>
                <w:bCs/>
                <w:color w:val="00000A"/>
              </w:rPr>
              <w:t>КК-70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Сырой протеин, не менее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proofErr w:type="gramStart"/>
            <w:r w:rsidRPr="003550C8">
              <w:rPr>
                <w:rFonts w:eastAsiaTheme="minorEastAsia"/>
                <w:color w:val="00000A"/>
              </w:rPr>
              <w:t>г</w:t>
            </w:r>
            <w:proofErr w:type="gramEnd"/>
            <w:r w:rsidRPr="003550C8">
              <w:rPr>
                <w:rFonts w:eastAsiaTheme="minorEastAsia"/>
                <w:color w:val="00000A"/>
              </w:rPr>
              <w:t>/кг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145</w:t>
            </w:r>
          </w:p>
        </w:tc>
      </w:tr>
      <w:tr w:rsidR="00A97CCB" w:rsidRPr="003550C8" w:rsidTr="004E7363">
        <w:trPr>
          <w:trHeight w:val="265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</w:t>
            </w:r>
            <w:r w:rsidRPr="003550C8">
              <w:rPr>
                <w:color w:val="00000A"/>
              </w:rPr>
              <w:t xml:space="preserve">Кормовые единицы, </w:t>
            </w:r>
            <w:r w:rsidRPr="003550C8">
              <w:rPr>
                <w:rFonts w:eastAsiaTheme="minorEastAsia"/>
                <w:color w:val="00000A"/>
              </w:rPr>
              <w:t>не менее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color w:val="00000A"/>
              </w:rPr>
              <w:t>0,85</w:t>
            </w:r>
          </w:p>
        </w:tc>
      </w:tr>
      <w:tr w:rsidR="00A97CCB" w:rsidRPr="003550C8" w:rsidTr="004E7363">
        <w:trPr>
          <w:trHeight w:val="269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Обменная энергия, не менее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proofErr w:type="gramStart"/>
            <w:r w:rsidRPr="003550C8">
              <w:rPr>
                <w:rFonts w:eastAsiaTheme="minorEastAsia"/>
                <w:color w:val="00000A"/>
              </w:rPr>
              <w:t>Ккал</w:t>
            </w:r>
            <w:proofErr w:type="gramEnd"/>
            <w:r w:rsidRPr="003550C8">
              <w:rPr>
                <w:rFonts w:eastAsiaTheme="minorEastAsia"/>
                <w:color w:val="00000A"/>
              </w:rPr>
              <w:t xml:space="preserve">/кг 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color w:val="00000A"/>
              </w:rPr>
              <w:t>212,3</w:t>
            </w:r>
          </w:p>
        </w:tc>
      </w:tr>
      <w:tr w:rsidR="00A97CCB" w:rsidRPr="003550C8" w:rsidTr="004E7363">
        <w:trPr>
          <w:trHeight w:val="176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 xml:space="preserve"> Влажность, не более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%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7CCB" w:rsidRPr="003550C8" w:rsidRDefault="00A97CCB" w:rsidP="004E7363">
            <w:pPr>
              <w:jc w:val="center"/>
              <w:rPr>
                <w:rFonts w:eastAsiaTheme="minorEastAsia"/>
                <w:color w:val="00000A"/>
                <w:lang w:eastAsia="ru-RU"/>
              </w:rPr>
            </w:pPr>
            <w:r w:rsidRPr="003550C8">
              <w:rPr>
                <w:rFonts w:eastAsiaTheme="minorEastAsia"/>
                <w:color w:val="00000A"/>
              </w:rPr>
              <w:t>14</w:t>
            </w:r>
          </w:p>
        </w:tc>
      </w:tr>
    </w:tbl>
    <w:p w:rsidR="00A97CCB" w:rsidRPr="003550C8" w:rsidRDefault="00A97CCB" w:rsidP="00A97CCB">
      <w:pPr>
        <w:rPr>
          <w:lang w:eastAsia="ru-RU"/>
        </w:rPr>
      </w:pPr>
      <w:r w:rsidRPr="003550C8">
        <w:rPr>
          <w:b/>
          <w:bCs/>
          <w:color w:val="000000" w:themeColor="text1"/>
          <w:lang w:eastAsia="ru-RU"/>
        </w:rPr>
        <w:t xml:space="preserve">Состав: </w:t>
      </w:r>
      <w:proofErr w:type="gramStart"/>
      <w:r w:rsidRPr="003550C8">
        <w:rPr>
          <w:bCs/>
          <w:lang w:eastAsia="ru-RU"/>
        </w:rPr>
        <w:t>Зерновые</w:t>
      </w:r>
      <w:r w:rsidRPr="003550C8">
        <w:rPr>
          <w:b/>
          <w:bCs/>
          <w:lang w:eastAsia="ru-RU"/>
        </w:rPr>
        <w:t xml:space="preserve"> </w:t>
      </w:r>
      <w:r w:rsidRPr="003550C8">
        <w:rPr>
          <w:lang w:eastAsia="ru-RU"/>
        </w:rPr>
        <w:t xml:space="preserve">(кукуруза, пшеница, отруби пшеничные, жмых соевый, жмых подсолнечный), соль пищевая, мел, фосфаты кальция, аминокислоты, витамины, микро- и макроэлементы, ферменты, антиоксиданты. </w:t>
      </w:r>
      <w:proofErr w:type="gramEnd"/>
    </w:p>
    <w:p w:rsidR="00A97CCB" w:rsidRPr="003550C8" w:rsidRDefault="00A97CCB" w:rsidP="00A97CCB">
      <w:pPr>
        <w:rPr>
          <w:lang w:eastAsia="ru-RU"/>
        </w:rPr>
      </w:pPr>
      <w:r w:rsidRPr="003550C8">
        <w:rPr>
          <w:b/>
          <w:lang w:eastAsia="ru-RU"/>
        </w:rPr>
        <w:t>Остаточный срок хранения</w:t>
      </w:r>
      <w:r w:rsidRPr="003550C8">
        <w:rPr>
          <w:lang w:eastAsia="ru-RU"/>
        </w:rPr>
        <w:t xml:space="preserve"> не менее 3 месяцев, не более 6 месяцев с даты изготовления.</w:t>
      </w: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C97098">
        <w:rPr>
          <w:rFonts w:ascii="Times New Roman" w:eastAsia="Times New Roman" w:hAnsi="Times New Roman" w:cs="Times New Roman"/>
          <w:lang w:eastAsia="ru-RU"/>
        </w:rPr>
        <w:t>1</w:t>
      </w:r>
      <w:r w:rsidR="00625400">
        <w:rPr>
          <w:rFonts w:ascii="Times New Roman" w:eastAsia="Times New Roman" w:hAnsi="Times New Roman" w:cs="Times New Roman"/>
          <w:lang w:eastAsia="ru-RU"/>
        </w:rPr>
        <w:t>9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10C81"/>
    <w:rsid w:val="001178CD"/>
    <w:rsid w:val="001355A6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C6D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43E75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97CCB"/>
    <w:rsid w:val="00B2539F"/>
    <w:rsid w:val="00B43437"/>
    <w:rsid w:val="00B521CC"/>
    <w:rsid w:val="00BD69F1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34</cp:revision>
  <cp:lastPrinted>2022-05-18T10:31:00Z</cp:lastPrinted>
  <dcterms:created xsi:type="dcterms:W3CDTF">2022-03-25T10:30:00Z</dcterms:created>
  <dcterms:modified xsi:type="dcterms:W3CDTF">2022-05-18T10:32:00Z</dcterms:modified>
</cp:coreProperties>
</file>